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2-552-1901</w:t>
      </w:r>
      <w:r>
        <w:rPr>
          <w:rFonts w:ascii="Times New Roman" w:eastAsia="Times New Roman" w:hAnsi="Times New Roman" w:cs="Times New Roman"/>
        </w:rPr>
        <w:t>/2024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Гасанбековой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исковому заявлению 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Балткредит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Машко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Оксане Викторовне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займа, судебных расходов,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Исковое заявление 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Балткредит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Машко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Оксане Викторовне о взыскании задолженности по до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говору займа, судебных расходов </w:t>
      </w:r>
      <w:r>
        <w:rPr>
          <w:rFonts w:ascii="Times New Roman" w:eastAsia="Times New Roman" w:hAnsi="Times New Roman" w:cs="Times New Roman"/>
          <w:sz w:val="26"/>
          <w:szCs w:val="26"/>
        </w:rPr>
        <w:t>- удовлетворить.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</w:rPr>
        <w:t>Машко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Оксаны Викторовны, </w:t>
      </w:r>
      <w:r>
        <w:rPr>
          <w:rStyle w:val="cat-PassportDatagrp-21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общества с ограниченной 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Балткредит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 ИНН 7804688407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000855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30.01.2023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период с 15.02.2023 года по 07.07.2023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размере 11 700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00 </w:t>
      </w:r>
      <w:r>
        <w:rPr>
          <w:rFonts w:ascii="Times New Roman" w:eastAsia="Times New Roman" w:hAnsi="Times New Roman" w:cs="Times New Roman"/>
          <w:sz w:val="26"/>
          <w:szCs w:val="26"/>
        </w:rPr>
        <w:t>копеек, в том числе 5 000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 копеек основной долг, 6 700 рублей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 проценты за пользование займом,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также 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оплате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пошлины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234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всего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взыскать 11 934 (одиннадцать тысяч девятьсот тридцать четыре) рубля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О.П. Артюх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06 марта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79747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1rplc-12">
    <w:name w:val="cat-PassportData grp-21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EA1BD-DD0D-43F5-8343-7594F25E175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